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E17" w:rsidRDefault="00506E17" w:rsidP="00506E17">
      <w:pPr>
        <w:jc w:val="center"/>
      </w:pPr>
      <w:r>
        <w:t>BOAS PRÁTICAS PARA PERIÓDICOS CIENTÍFICOS</w:t>
      </w:r>
    </w:p>
    <w:p w:rsidR="00506E17" w:rsidRDefault="00A02C57" w:rsidP="00A02C57">
      <w:pPr>
        <w:jc w:val="both"/>
      </w:pPr>
      <w:r>
        <w:t>Estas diretrizes favorecem a obtenção de critérios de qualidade e garantem um posicionamento ético e responsável no trato com as práticas editorias e a comunidade científica.</w:t>
      </w:r>
    </w:p>
    <w:p w:rsidR="00A02C57" w:rsidRDefault="00A02C57" w:rsidP="00506E17">
      <w:r>
        <w:t xml:space="preserve">a transparência </w:t>
      </w:r>
      <w:proofErr w:type="gramStart"/>
      <w:r>
        <w:t>e  controle</w:t>
      </w:r>
      <w:proofErr w:type="gramEnd"/>
      <w:r>
        <w:t xml:space="preserve"> de qualidade como aspectos essenciais do processo editorial, sob a responsabilidade do editor-chefe;</w:t>
      </w:r>
    </w:p>
    <w:p w:rsidR="00DE4ABF" w:rsidRDefault="00DE4ABF" w:rsidP="00506E17">
      <w:r>
        <w:t xml:space="preserve">Corpo editorial – o periódico deverá apresentar um corpo editorial </w:t>
      </w:r>
      <w:proofErr w:type="spellStart"/>
      <w:r>
        <w:t>multi-institucional</w:t>
      </w:r>
      <w:proofErr w:type="spellEnd"/>
      <w:r>
        <w:t xml:space="preserve"> e com a indicação da afiliação da instituição a qual pertence; </w:t>
      </w:r>
    </w:p>
    <w:p w:rsidR="00DE4ABF" w:rsidRDefault="00DE4ABF" w:rsidP="00506E17">
      <w:r>
        <w:t xml:space="preserve">Caráter científico – os periódicos devem publicar predominantemente artigos originais resultantes de pesquisa científica e/ou significativas para a área específica do periódico. Os periódicos podem incluir outros tipos de contribuições, como artigos de revisão, comunicações, resenhas e estudos de caso, que não serão consideradas como artigos originais; </w:t>
      </w:r>
    </w:p>
    <w:p w:rsidR="00DE4ABF" w:rsidRDefault="00DE4ABF" w:rsidP="00506E17">
      <w:r>
        <w:t>Identificação dos autores – os manuscritos devem estar assinados pelos autores, com nome e sobrenome, e apresentar e-mails e ORCIS;</w:t>
      </w:r>
    </w:p>
    <w:p w:rsidR="00A02C57" w:rsidRDefault="00A02C57" w:rsidP="00506E17">
      <w:r>
        <w:t>Garantia de que todos os autores revisem e aceitem comprovadamente a responsabilidade pelo conteúdo;</w:t>
      </w:r>
    </w:p>
    <w:p w:rsidR="00DE4ABF" w:rsidRDefault="00DE4ABF" w:rsidP="00506E17">
      <w:r>
        <w:t xml:space="preserve">Entidade editora – deve estar identificada na página do periódico; </w:t>
      </w:r>
    </w:p>
    <w:p w:rsidR="00DE4ABF" w:rsidRDefault="00DE4ABF" w:rsidP="00506E17">
      <w:r>
        <w:t>Periodicidade regular – cumprimento rigoroso da periodicidade proposta;</w:t>
      </w:r>
    </w:p>
    <w:p w:rsidR="00865D8D" w:rsidRDefault="00DE4ABF" w:rsidP="00506E17">
      <w:r>
        <w:t xml:space="preserve">Recepção e aceitação dos originais – indicação das datas nos documentos; </w:t>
      </w:r>
    </w:p>
    <w:p w:rsidR="00865D8D" w:rsidRDefault="00DE4ABF" w:rsidP="00506E17">
      <w:r>
        <w:t xml:space="preserve">ISSN eletrônico; </w:t>
      </w:r>
    </w:p>
    <w:p w:rsidR="00865D8D" w:rsidRDefault="00DE4ABF" w:rsidP="00506E17">
      <w:r>
        <w:t xml:space="preserve">Foco e escopo – </w:t>
      </w:r>
      <w:proofErr w:type="gramStart"/>
      <w:r>
        <w:t>cobertura</w:t>
      </w:r>
      <w:proofErr w:type="gramEnd"/>
      <w:r>
        <w:t xml:space="preserve"> temática, objetivo e público-alvo;</w:t>
      </w:r>
    </w:p>
    <w:p w:rsidR="00865D8D" w:rsidRDefault="00DE4ABF" w:rsidP="00506E17">
      <w:r>
        <w:t>Avaliadores externos – o periódico deve submeter seus artigos à apreciação de avaliadores, além de estabelecer e deixar visíveis os critérios de avaliação;</w:t>
      </w:r>
    </w:p>
    <w:p w:rsidR="00865D8D" w:rsidRDefault="00DE4ABF" w:rsidP="00506E17">
      <w:r>
        <w:t>Instruções aos autores – o periódico deve disponibilizar as instruções para autores inclusive relacionadas à normalização adotada e sugestão de referências;</w:t>
      </w:r>
    </w:p>
    <w:p w:rsidR="00DB35B2" w:rsidRDefault="00DB35B2" w:rsidP="00506E17">
      <w:r>
        <w:t>informa</w:t>
      </w:r>
      <w:r w:rsidR="00FC0649">
        <w:t>r</w:t>
      </w:r>
      <w:r>
        <w:t xml:space="preserve"> nas instruções aos autores </w:t>
      </w:r>
      <w:r w:rsidR="00FC0649">
        <w:t>os procedimentos para r</w:t>
      </w:r>
      <w:r>
        <w:t>eceb</w:t>
      </w:r>
      <w:r w:rsidR="00FC0649">
        <w:t>imento de</w:t>
      </w:r>
      <w:r>
        <w:t xml:space="preserve"> comunicação de suspeita de má conduta.</w:t>
      </w:r>
    </w:p>
    <w:p w:rsidR="00FC0649" w:rsidRDefault="00FC0649" w:rsidP="00506E17">
      <w:r>
        <w:t>Prever retratação, documentar o motivo da retratação devidamente referenciada, mediante comunicação do autor ou editor ou outro agente autorizado.</w:t>
      </w:r>
      <w:bookmarkStart w:id="0" w:name="_GoBack"/>
      <w:bookmarkEnd w:id="0"/>
    </w:p>
    <w:p w:rsidR="00865D8D" w:rsidRDefault="00DE4ABF" w:rsidP="00506E17">
      <w:r>
        <w:t xml:space="preserve">Título, resumo e palavras-chave - </w:t>
      </w:r>
      <w:proofErr w:type="gramStart"/>
      <w:r>
        <w:t>o</w:t>
      </w:r>
      <w:proofErr w:type="gramEnd"/>
      <w:r>
        <w:t xml:space="preserve"> periódico deve apresentá-los no idioma do texto e em inglês;</w:t>
      </w:r>
    </w:p>
    <w:p w:rsidR="00865D8D" w:rsidRDefault="00DE4ABF" w:rsidP="00506E17">
      <w:r>
        <w:t xml:space="preserve">Revisão dos metadados; </w:t>
      </w:r>
    </w:p>
    <w:p w:rsidR="00865D8D" w:rsidRDefault="00DE4ABF" w:rsidP="00506E17">
      <w:r>
        <w:t xml:space="preserve">Uso do ícone da licença </w:t>
      </w:r>
      <w:proofErr w:type="spellStart"/>
      <w:r>
        <w:t>Creative</w:t>
      </w:r>
      <w:proofErr w:type="spellEnd"/>
      <w:r>
        <w:t xml:space="preserve"> Commons &lt; </w:t>
      </w:r>
      <w:hyperlink r:id="rId4" w:history="1">
        <w:r w:rsidR="00865D8D" w:rsidRPr="00235C18">
          <w:rPr>
            <w:rStyle w:val="Hyperlink"/>
          </w:rPr>
          <w:t>http://creativecommons.org</w:t>
        </w:r>
      </w:hyperlink>
      <w:r>
        <w:t>&gt;;</w:t>
      </w:r>
    </w:p>
    <w:p w:rsidR="00865D8D" w:rsidRDefault="00DE4ABF" w:rsidP="00506E17">
      <w:r>
        <w:t xml:space="preserve">Adequação às normas: Associação Brasileira de Normas Técnicas (ABNT) ou American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(APA) ou </w:t>
      </w:r>
      <w:proofErr w:type="spellStart"/>
      <w:r>
        <w:t>International</w:t>
      </w:r>
      <w:proofErr w:type="spellEnd"/>
      <w:r>
        <w:t xml:space="preserve"> Standards </w:t>
      </w:r>
      <w:proofErr w:type="spellStart"/>
      <w:r>
        <w:t>Organization</w:t>
      </w:r>
      <w:proofErr w:type="spellEnd"/>
      <w:r>
        <w:t xml:space="preserve"> (ISO) ou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(MLA) ou MONTREAL ou VANCOUVER ou </w:t>
      </w:r>
      <w:proofErr w:type="spellStart"/>
      <w:r>
        <w:t>Deutsches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Normung</w:t>
      </w:r>
      <w:proofErr w:type="spellEnd"/>
      <w:r>
        <w:t xml:space="preserve"> (DIN);</w:t>
      </w:r>
    </w:p>
    <w:p w:rsidR="00506E17" w:rsidRDefault="00DE4ABF" w:rsidP="00506E17">
      <w:r>
        <w:t xml:space="preserve">Atender aos critérios das Diretrizes do DOI; </w:t>
      </w:r>
    </w:p>
    <w:sectPr w:rsidR="00506E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17"/>
    <w:rsid w:val="00506E17"/>
    <w:rsid w:val="00865D8D"/>
    <w:rsid w:val="00A02C57"/>
    <w:rsid w:val="00DB35B2"/>
    <w:rsid w:val="00DE4ABF"/>
    <w:rsid w:val="00FA6438"/>
    <w:rsid w:val="00FC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5F13"/>
  <w15:chartTrackingRefBased/>
  <w15:docId w15:val="{5CD8AB5C-8D9C-4F80-B781-FF4B23AD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5D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5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reativecommons.o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2021-04-29T21:43:00Z</dcterms:created>
  <dcterms:modified xsi:type="dcterms:W3CDTF">2021-04-29T23:26:00Z</dcterms:modified>
</cp:coreProperties>
</file>